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0" w:after="100"/>
        <w:jc w:val="left"/>
        <w:rPr>
          <w:rFonts w:ascii="Times New Roman" w:hAnsi="Times New Roman" w:eastAsia="宋体"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b w:val="0"/>
          <w:bCs/>
          <w:sz w:val="44"/>
          <w:szCs w:val="44"/>
        </w:rPr>
      </w:pPr>
      <w:bookmarkStart w:id="0" w:name="_GoBack"/>
      <w:r>
        <w:rPr>
          <w:rFonts w:hint="eastAsia" w:ascii="Arial" w:hAnsi="Arial" w:eastAsia="方正小标宋简体" w:cs="Arial"/>
          <w:b w:val="0"/>
          <w:bCs/>
          <w:sz w:val="44"/>
          <w:szCs w:val="44"/>
        </w:rPr>
        <w:t>通渭县</w:t>
      </w:r>
      <w:r>
        <w:rPr>
          <w:rFonts w:hint="eastAsia" w:ascii="方正小标宋简体" w:hAnsi="Times New Roman" w:eastAsia="方正小标宋简体" w:cs="Times New Roman"/>
          <w:b w:val="0"/>
          <w:bCs/>
          <w:sz w:val="44"/>
          <w:szCs w:val="44"/>
        </w:rPr>
        <w:t>人民法院2018年度部门决算情况说明</w:t>
      </w:r>
      <w:bookmarkEnd w:id="0"/>
    </w:p>
    <w:p>
      <w:pPr>
        <w:spacing w:line="560" w:lineRule="exact"/>
        <w:jc w:val="center"/>
        <w:rPr>
          <w:rFonts w:ascii="方正小标宋简体" w:hAnsi="Times New Roman" w:eastAsia="方正小标宋简体" w:cs="Times New Roman"/>
          <w:b/>
          <w:sz w:val="36"/>
          <w:szCs w:val="36"/>
        </w:rPr>
      </w:pPr>
    </w:p>
    <w:p>
      <w:pPr>
        <w:keepNext w:val="0"/>
        <w:keepLines w:val="0"/>
        <w:pageBreakBefore w:val="0"/>
        <w:kinsoku/>
        <w:wordWrap/>
        <w:overflowPunct/>
        <w:topLinePunct w:val="0"/>
        <w:autoSpaceDE/>
        <w:autoSpaceDN/>
        <w:bidi w:val="0"/>
        <w:adjustRightInd w:val="0"/>
        <w:snapToGrid/>
        <w:spacing w:line="560" w:lineRule="exact"/>
        <w:ind w:firstLine="800" w:firstLineChars="250"/>
        <w:textAlignment w:val="auto"/>
        <w:rPr>
          <w:rFonts w:ascii="黑体" w:hAnsi="黑体" w:eastAsia="黑体" w:cs="Times New Roman"/>
          <w:bCs/>
          <w:color w:val="000000"/>
          <w:sz w:val="32"/>
          <w:szCs w:val="32"/>
        </w:rPr>
      </w:pPr>
      <w:r>
        <w:rPr>
          <w:rFonts w:hint="eastAsia" w:ascii="黑体" w:hAnsi="黑体" w:eastAsia="黑体" w:cs="Times New Roman"/>
          <w:bCs/>
          <w:color w:val="000000"/>
          <w:sz w:val="32"/>
          <w:szCs w:val="32"/>
        </w:rPr>
        <w:t>一、部门基本情况</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（一）职能职责</w:t>
      </w:r>
    </w:p>
    <w:p>
      <w:pPr>
        <w:pStyle w:val="2"/>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cs="Times New Roman"/>
          <w:b/>
          <w:sz w:val="32"/>
          <w:szCs w:val="32"/>
        </w:rPr>
      </w:pPr>
      <w:r>
        <w:rPr>
          <w:rFonts w:hint="eastAsia" w:ascii="仿宋" w:hAnsi="仿宋" w:eastAsia="仿宋"/>
          <w:sz w:val="32"/>
          <w:szCs w:val="32"/>
        </w:rPr>
        <w:t>通渭县人民法院是国家的审判机关，依法独立行使审判权，在县委和县委政法委的领导下，对人民代表大会及其常务委员会负责并报告工作，接受上级人民法院监督，其主要职责是：</w:t>
      </w:r>
    </w:p>
    <w:p>
      <w:pPr>
        <w:pStyle w:val="2"/>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1.审判法律规定由基层法院管辖的刑事、民事、行政等案件。</w:t>
      </w:r>
    </w:p>
    <w:p>
      <w:pPr>
        <w:pStyle w:val="2"/>
        <w:keepNext w:val="0"/>
        <w:keepLines w:val="0"/>
        <w:pageBreakBefore w:val="0"/>
        <w:kinsoku/>
        <w:wordWrap/>
        <w:overflowPunct/>
        <w:topLinePunct w:val="0"/>
        <w:autoSpaceDE/>
        <w:autoSpaceDN/>
        <w:bidi w:val="0"/>
        <w:snapToGrid/>
        <w:spacing w:line="560" w:lineRule="exact"/>
        <w:ind w:firstLine="480" w:firstLineChars="150"/>
        <w:textAlignment w:val="auto"/>
        <w:rPr>
          <w:rFonts w:ascii="仿宋" w:hAnsi="仿宋" w:eastAsia="仿宋"/>
          <w:kern w:val="0"/>
          <w:sz w:val="32"/>
          <w:szCs w:val="32"/>
        </w:rPr>
      </w:pPr>
      <w:r>
        <w:rPr>
          <w:rFonts w:hint="eastAsia" w:ascii="仿宋" w:hAnsi="仿宋" w:eastAsia="仿宋"/>
          <w:kern w:val="0"/>
          <w:sz w:val="32"/>
          <w:szCs w:val="32"/>
        </w:rPr>
        <w:t xml:space="preserve"> 2.处理不需要开庭审判的民事纠纷和轻微的刑事案件。</w:t>
      </w:r>
      <w:r>
        <w:rPr>
          <w:rFonts w:hint="eastAsia" w:ascii="仿宋" w:hAnsi="仿宋" w:eastAsia="仿宋"/>
          <w:kern w:val="0"/>
          <w:sz w:val="32"/>
          <w:szCs w:val="32"/>
        </w:rPr>
        <w:br w:type="textWrapping"/>
      </w:r>
      <w:r>
        <w:rPr>
          <w:rFonts w:hint="eastAsia" w:ascii="仿宋" w:hAnsi="仿宋" w:eastAsia="仿宋"/>
          <w:kern w:val="0"/>
          <w:sz w:val="32"/>
          <w:szCs w:val="32"/>
        </w:rPr>
        <w:t xml:space="preserve">    3.审理由人民检察院按照审判监督程序提起的抗诉案件。</w:t>
      </w:r>
      <w:r>
        <w:rPr>
          <w:rFonts w:hint="eastAsia" w:ascii="仿宋" w:hAnsi="仿宋" w:eastAsia="仿宋"/>
          <w:kern w:val="0"/>
          <w:sz w:val="32"/>
          <w:szCs w:val="32"/>
        </w:rPr>
        <w:br w:type="textWrapping"/>
      </w:r>
      <w:r>
        <w:rPr>
          <w:rFonts w:hint="eastAsia" w:ascii="仿宋" w:hAnsi="仿宋" w:eastAsia="仿宋"/>
          <w:kern w:val="0"/>
          <w:sz w:val="32"/>
          <w:szCs w:val="32"/>
        </w:rPr>
        <w:t xml:space="preserve">    4.指导人民调解委员会工作。</w:t>
      </w:r>
    </w:p>
    <w:p>
      <w:pPr>
        <w:pStyle w:val="2"/>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 xml:space="preserve">5.依法行使司法执行权和司法决定权。 </w:t>
      </w:r>
    </w:p>
    <w:p>
      <w:pPr>
        <w:pStyle w:val="2"/>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cs="Times New Roman"/>
          <w:b/>
          <w:sz w:val="32"/>
          <w:szCs w:val="32"/>
        </w:rPr>
      </w:pPr>
      <w:r>
        <w:rPr>
          <w:rFonts w:hint="eastAsia" w:ascii="仿宋" w:hAnsi="仿宋" w:eastAsia="仿宋"/>
          <w:kern w:val="0"/>
          <w:sz w:val="32"/>
          <w:szCs w:val="32"/>
        </w:rPr>
        <w:t>6.依法审判刑事、民事、行政再审案件；处理来信来访。</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7.针对案件审理中发现的问题提出司法建议。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8.负责全院的思想政治建设、组织建设、制度建设、廉政建设及教育培训等工作。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9.在业务工作中宣传法治，教育公民忠于社会主义祖国，自觉遵守宪法、法律、法规和社会公德。</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cs="宋体"/>
          <w:kern w:val="0"/>
          <w:sz w:val="32"/>
          <w:szCs w:val="32"/>
        </w:rPr>
        <w:t>10.承办其他由基层人民法院负责的工作</w:t>
      </w:r>
      <w:r>
        <w:rPr>
          <w:rFonts w:hint="eastAsia" w:ascii="仿宋" w:hAnsi="仿宋" w:eastAsia="仿宋"/>
          <w:sz w:val="32"/>
          <w:szCs w:val="32"/>
        </w:rPr>
        <w:t>。</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楷体_GB2312" w:hAnsi="楷体" w:eastAsia="楷体_GB2312" w:cs="Times New Roman"/>
          <w:sz w:val="32"/>
          <w:szCs w:val="32"/>
        </w:rPr>
      </w:pPr>
      <w:r>
        <w:rPr>
          <w:rFonts w:hint="eastAsia" w:ascii="楷体_GB2312" w:hAnsi="楷体" w:eastAsia="楷体_GB2312" w:cs="Times New Roman"/>
          <w:sz w:val="32"/>
          <w:szCs w:val="32"/>
        </w:rPr>
        <w:t>（二）机构设置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宋体" w:eastAsia="仿宋_GB2312"/>
          <w:color w:val="FF0000"/>
          <w:sz w:val="32"/>
          <w:szCs w:val="32"/>
        </w:rPr>
      </w:pPr>
      <w:r>
        <w:rPr>
          <w:rFonts w:hint="eastAsia" w:ascii="仿宋_GB2312" w:hAnsi="宋体" w:eastAsia="仿宋_GB2312"/>
          <w:bCs/>
          <w:sz w:val="32"/>
          <w:szCs w:val="32"/>
        </w:rPr>
        <w:t>通渭</w:t>
      </w:r>
      <w:r>
        <w:rPr>
          <w:rFonts w:hint="eastAsia" w:ascii="仿宋" w:hAnsi="仿宋" w:eastAsia="仿宋"/>
          <w:kern w:val="0"/>
          <w:sz w:val="32"/>
          <w:szCs w:val="32"/>
        </w:rPr>
        <w:t>县人民法院内设12个职能部门（刑事审判庭、民事审判第一庭、民事审判第二庭、行政审判庭、立案庭、审判监督庭、执行庭、办公室、法警大队、政工科、审管办、</w:t>
      </w:r>
      <w:r>
        <w:rPr>
          <w:rFonts w:hint="eastAsia" w:ascii="仿宋" w:hAnsi="仿宋" w:eastAsia="仿宋"/>
          <w:kern w:val="0"/>
          <w:sz w:val="32"/>
          <w:szCs w:val="32"/>
          <w:lang w:eastAsia="zh-CN"/>
        </w:rPr>
        <w:t>监察室）及</w:t>
      </w:r>
      <w:r>
        <w:rPr>
          <w:rFonts w:hint="eastAsia" w:ascii="仿宋" w:hAnsi="仿宋" w:eastAsia="仿宋"/>
          <w:kern w:val="0"/>
          <w:sz w:val="32"/>
          <w:szCs w:val="32"/>
          <w:lang w:val="en-US" w:eastAsia="zh-CN"/>
        </w:rPr>
        <w:t>1个派出纪检组</w:t>
      </w:r>
      <w:r>
        <w:rPr>
          <w:rFonts w:hint="eastAsia" w:ascii="仿宋" w:hAnsi="仿宋" w:eastAsia="仿宋"/>
          <w:kern w:val="0"/>
          <w:sz w:val="32"/>
          <w:szCs w:val="32"/>
          <w:lang w:eastAsia="zh-CN"/>
        </w:rPr>
        <w:t>，派驻</w:t>
      </w:r>
      <w:r>
        <w:rPr>
          <w:rFonts w:hint="eastAsia" w:ascii="仿宋" w:hAnsi="仿宋" w:eastAsia="仿宋"/>
          <w:kern w:val="0"/>
          <w:sz w:val="32"/>
          <w:szCs w:val="32"/>
        </w:rPr>
        <w:t>6个基层人民法庭（马营法庭、鸡川法庭、义岗法庭、陇山法庭、榜罗法庭、李店法庭）。</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bCs/>
          <w:sz w:val="32"/>
          <w:szCs w:val="32"/>
        </w:rPr>
      </w:pPr>
      <w:r>
        <w:rPr>
          <w:rFonts w:hint="eastAsia" w:ascii="黑体" w:hAnsi="黑体" w:eastAsia="黑体" w:cs="Times New Roman"/>
          <w:bCs/>
          <w:color w:val="000000"/>
          <w:sz w:val="32"/>
          <w:szCs w:val="32"/>
        </w:rPr>
        <w:t>二、2018年度部门决算报表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表一：收入支出决算总表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表二：收入决算表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表三：支出决算表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表四：财政拨款收入支出决算总表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表五：一般公共预算财政拨款支出决算表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表六：一般公共预算财政拨款基本支出决算表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表七：一般公共预算财政拨款“三公”经费支出决算表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表八：政府性基金预算财政拨款收入支出决算表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黑体"/>
          <w:bCs/>
          <w:sz w:val="36"/>
          <w:szCs w:val="36"/>
        </w:rPr>
      </w:pPr>
      <w:r>
        <w:rPr>
          <w:rFonts w:hint="eastAsia" w:ascii="黑体" w:hAnsi="黑体" w:eastAsia="黑体" w:cs="Times New Roman"/>
          <w:bCs/>
          <w:color w:val="000000"/>
          <w:sz w:val="32"/>
          <w:szCs w:val="32"/>
        </w:rPr>
        <w:t>三、2018年度部门决算情况说明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（一）收入支出决算总体情况说明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收入总计2060.87万元，支出总计1564.72万元。与2017年决算数相比，收入增加754.8万元、增长57.79%，支出增加258.65万元、增长19.8%，主要原因是非税收入增加、人员正常增加、普调工资、员额制工资改革、公用经费调标相应增加了收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2018年度收入合计2060.87万元，其中：财政拨款收入1774.12万元，占</w:t>
      </w:r>
      <w:r>
        <w:rPr>
          <w:rFonts w:hint="eastAsia" w:ascii="仿宋_GB2312" w:hAnsi="宋体" w:eastAsia="仿宋_GB2312"/>
          <w:sz w:val="32"/>
          <w:szCs w:val="32"/>
        </w:rPr>
        <w:t>86.09</w:t>
      </w:r>
      <w:r>
        <w:rPr>
          <w:rFonts w:hint="eastAsia" w:ascii="仿宋_GB2312" w:eastAsia="仿宋_GB2312"/>
          <w:sz w:val="32"/>
          <w:szCs w:val="32"/>
        </w:rPr>
        <w:t>%；其他收入</w:t>
      </w:r>
      <w:r>
        <w:rPr>
          <w:rFonts w:hint="eastAsia" w:ascii="仿宋_GB2312" w:hAnsi="宋体" w:eastAsia="仿宋_GB2312"/>
          <w:sz w:val="32"/>
          <w:szCs w:val="32"/>
        </w:rPr>
        <w:t>286.75</w:t>
      </w:r>
      <w:r>
        <w:rPr>
          <w:rFonts w:hint="eastAsia" w:ascii="仿宋_GB2312" w:eastAsia="仿宋_GB2312"/>
          <w:sz w:val="32"/>
          <w:szCs w:val="32"/>
        </w:rPr>
        <w:t>万元，占</w:t>
      </w:r>
      <w:r>
        <w:rPr>
          <w:rFonts w:hint="eastAsia" w:ascii="仿宋_GB2312" w:hAnsi="宋体" w:eastAsia="仿宋_GB2312"/>
          <w:sz w:val="32"/>
          <w:szCs w:val="32"/>
        </w:rPr>
        <w:t>13.91</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2018年度支出合计1564.72万元，其中：基本支出1107.54万元，占70.78%；项目支出457.18万元，占29.22%；</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2018年度年末结转和结余620.32万元，较上年增加496.15万元，主要原因是部分基层法院维修正在办理手续维修中，尚未结清。</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楷体_GB2312" w:hAnsi="楷体" w:eastAsia="楷体_GB2312" w:cs="Times New Roman"/>
          <w:sz w:val="32"/>
          <w:szCs w:val="32"/>
        </w:rPr>
      </w:pPr>
      <w:r>
        <w:rPr>
          <w:rFonts w:hint="eastAsia" w:ascii="楷体_GB2312" w:hAnsi="楷体" w:eastAsia="楷体_GB2312" w:cs="Times New Roman"/>
          <w:sz w:val="32"/>
          <w:szCs w:val="32"/>
        </w:rPr>
        <w:t>（二）财政拨款收入支出决算总体情况说明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2018年度财政拨款收入合计1774.12万元，较上年决算数增加605.07万元，增长51.76%。主要原因是非税收入增加、人员正常增加、普调工资、员额制工资改革调标。较年初预算数一致。</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2018年度财政拨款支出合计1564.72万元，较上年决算数增加382.82万元，增长32.39%。主要原因是非税收入增加、普调工资、员额制工资改革调标等。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2018年度财政拨款支出主要用于以下方面：一般公共服务支出14.15万元，占0.90%；公共安全支出1460.44万元，占107.14%，主要原因是智慧法院信息化项目增加、法院业务费增加、法庭运维经费增加、普调工资等；医疗卫生与计划生育支出43.16万元，占0.28%；住房保障支出46.97万元，占3.00%</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（三）一般公共预算财政拨款基本支出决算情况说明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一般公共财政拨款基本支出850.79万元。其中：人员经费777.41万元，较上年增加189.01万元，主要原因是人员正常普调工资、员额制工资改革调标。人员经费用途主要包括基本工资、津贴补贴、奖金、绩效工资、社会保障缴费、职业年金缴费、职工基本医疗保险缴费、公务员医疗补助缴费、其他社会保障缴费、住房公积金、医疗费、其他工资福利支出等项目。公用经费73.38万元，较上年增加10.54万元，主要原因是案件数量增加、人员增加。公用经费用途主要包括办公费、印刷费、咨询费、手续费、水费、电费、邮电费、取暖费、物业管理费、差旅费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bCs/>
          <w:sz w:val="32"/>
          <w:szCs w:val="32"/>
        </w:rPr>
      </w:pPr>
      <w:r>
        <w:rPr>
          <w:rFonts w:hint="eastAsia" w:ascii="黑体" w:hAnsi="黑体" w:eastAsia="黑体" w:cs="Times New Roman"/>
          <w:bCs/>
          <w:color w:val="000000"/>
          <w:sz w:val="32"/>
          <w:szCs w:val="32"/>
        </w:rPr>
        <w:t>四、“三公”经费情况说明</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楷体_GB2312" w:hAnsi="楷体" w:eastAsia="楷体_GB2312" w:cs="Times New Roman"/>
          <w:sz w:val="32"/>
          <w:szCs w:val="32"/>
        </w:rPr>
      </w:pPr>
      <w:r>
        <w:rPr>
          <w:rFonts w:hint="eastAsia" w:ascii="楷体_GB2312" w:hAnsi="楷体" w:eastAsia="楷体_GB2312" w:cs="Times New Roman"/>
          <w:sz w:val="32"/>
          <w:szCs w:val="32"/>
        </w:rPr>
        <w:t>（一）“三公”经费支出总额情况</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2018年度“三公”经费支出共计28.49元，较年初预算数减少0.22万元，主要原因是严格控制接待、严禁</w:t>
      </w:r>
      <w:r>
        <w:rPr>
          <w:rFonts w:hint="eastAsia" w:ascii="仿宋_GB2312" w:eastAsia="仿宋_GB2312"/>
          <w:sz w:val="32"/>
          <w:szCs w:val="32"/>
          <w:lang w:eastAsia="zh-CN"/>
        </w:rPr>
        <w:t>违规用</w:t>
      </w:r>
      <w:r>
        <w:rPr>
          <w:rFonts w:hint="eastAsia" w:ascii="仿宋_GB2312" w:eastAsia="仿宋_GB2312"/>
          <w:sz w:val="32"/>
          <w:szCs w:val="32"/>
        </w:rPr>
        <w:t>公款接待、控制用车成本。</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仿宋_GB2312" w:eastAsia="仿宋_GB2312"/>
          <w:sz w:val="32"/>
          <w:szCs w:val="32"/>
        </w:rPr>
      </w:pPr>
      <w:r>
        <w:rPr>
          <w:rFonts w:hint="eastAsia" w:ascii="楷体_GB2312" w:hAnsi="楷体" w:eastAsia="楷体_GB2312" w:cs="Times New Roman"/>
          <w:sz w:val="32"/>
          <w:szCs w:val="32"/>
        </w:rPr>
        <w:t>（二）“三公”经费分项支出情况</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度因公出国（境）费用无，公务车购置费无，公务车运行维护费26.77万元，较年初预算数减少0.03万元，主要原因是严格控制出车、控制用车成本、提高用车效率。公务接待费1.72万元，较年初预算数减少0.19万元，主要原因是严格控制接待、严禁</w:t>
      </w:r>
      <w:r>
        <w:rPr>
          <w:rFonts w:hint="eastAsia" w:ascii="仿宋_GB2312" w:eastAsia="仿宋_GB2312"/>
          <w:sz w:val="32"/>
          <w:szCs w:val="32"/>
          <w:lang w:eastAsia="zh-CN"/>
        </w:rPr>
        <w:t>违规用</w:t>
      </w:r>
      <w:r>
        <w:rPr>
          <w:rFonts w:hint="eastAsia" w:ascii="仿宋_GB2312" w:eastAsia="仿宋_GB2312"/>
          <w:sz w:val="32"/>
          <w:szCs w:val="32"/>
        </w:rPr>
        <w:t>公款接待。</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楷体_GB2312" w:hAnsi="楷体" w:eastAsia="楷体_GB2312" w:cs="Times New Roman"/>
          <w:sz w:val="32"/>
          <w:szCs w:val="32"/>
        </w:rPr>
      </w:pPr>
      <w:r>
        <w:rPr>
          <w:rFonts w:hint="eastAsia" w:ascii="楷体_GB2312" w:hAnsi="楷体" w:eastAsia="楷体_GB2312" w:cs="Times New Roman"/>
          <w:sz w:val="32"/>
          <w:szCs w:val="32"/>
        </w:rPr>
        <w:t>（三）“三公”经费实物量情况</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2018年因公出国</w:t>
      </w:r>
      <w:r>
        <w:rPr>
          <w:rFonts w:hint="eastAsia" w:ascii="仿宋_GB2312" w:eastAsia="仿宋_GB2312"/>
          <w:sz w:val="32"/>
          <w:szCs w:val="32"/>
          <w:lang w:eastAsia="zh-CN"/>
        </w:rPr>
        <w:t>费用</w:t>
      </w:r>
      <w:r>
        <w:rPr>
          <w:rFonts w:hint="eastAsia" w:ascii="仿宋_GB2312" w:eastAsia="仿宋_GB2312"/>
          <w:sz w:val="32"/>
          <w:szCs w:val="32"/>
        </w:rPr>
        <w:t>无，公务用车购置</w:t>
      </w:r>
      <w:r>
        <w:rPr>
          <w:rFonts w:hint="eastAsia" w:ascii="仿宋_GB2312" w:eastAsia="仿宋_GB2312"/>
          <w:sz w:val="32"/>
          <w:szCs w:val="32"/>
          <w:lang w:eastAsia="zh-CN"/>
        </w:rPr>
        <w:t>无</w:t>
      </w:r>
      <w:r>
        <w:rPr>
          <w:rFonts w:hint="eastAsia" w:ascii="仿宋_GB2312" w:eastAsia="仿宋_GB2312"/>
          <w:sz w:val="32"/>
          <w:szCs w:val="32"/>
        </w:rPr>
        <w:t>，公务车保有量为11辆，国内公务接待20批次，280人。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bCs/>
          <w:sz w:val="32"/>
          <w:szCs w:val="32"/>
        </w:rPr>
      </w:pPr>
      <w:r>
        <w:rPr>
          <w:rFonts w:hint="eastAsia" w:ascii="黑体" w:hAnsi="黑体" w:eastAsia="黑体" w:cs="Times New Roman"/>
          <w:bCs/>
          <w:color w:val="000000"/>
          <w:sz w:val="32"/>
          <w:szCs w:val="32"/>
        </w:rPr>
        <w:t>五、其他需要说明的事项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楷体_GB2312" w:hAnsi="楷体" w:eastAsia="楷体_GB2312" w:cs="Times New Roman"/>
          <w:sz w:val="32"/>
          <w:szCs w:val="32"/>
        </w:rPr>
      </w:pPr>
      <w:r>
        <w:rPr>
          <w:rFonts w:hint="eastAsia" w:ascii="楷体_GB2312" w:hAnsi="楷体" w:eastAsia="楷体_GB2312" w:cs="Times New Roman"/>
          <w:sz w:val="32"/>
          <w:szCs w:val="32"/>
        </w:rPr>
        <w:t>（一）机关运行经费情况说明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机关运行经费支出73.38万元，机关运行经费主要用于开支主要用于办公费、印刷费、水电费、邮电费、取暖费、物业管理费、差旅费、维修（护）费、租赁费、会议费、被装购置费、劳务费、委托业务费、公务用车运行维护费、其他交通费、办公设备购置、信息网络及软件购置更新等。机关运行经费较2017年增加10.54万元，主要原因是人员正常增加，办公经费相应增加。</w:t>
      </w:r>
    </w:p>
    <w:p>
      <w:pPr>
        <w:keepNext w:val="0"/>
        <w:keepLines w:val="0"/>
        <w:pageBreakBefore w:val="0"/>
        <w:numPr>
          <w:ilvl w:val="0"/>
          <w:numId w:val="1"/>
        </w:numPr>
        <w:kinsoku/>
        <w:wordWrap/>
        <w:overflowPunct/>
        <w:topLinePunct w:val="0"/>
        <w:autoSpaceDE/>
        <w:autoSpaceDN/>
        <w:bidi w:val="0"/>
        <w:snapToGrid/>
        <w:spacing w:line="560" w:lineRule="exact"/>
        <w:ind w:firstLine="640" w:firstLineChars="200"/>
        <w:textAlignment w:val="auto"/>
        <w:rPr>
          <w:rFonts w:ascii="楷体_GB2312" w:hAnsi="楷体" w:eastAsia="楷体_GB2312" w:cs="Times New Roman"/>
          <w:sz w:val="32"/>
          <w:szCs w:val="32"/>
        </w:rPr>
      </w:pPr>
      <w:r>
        <w:rPr>
          <w:rFonts w:hint="eastAsia" w:ascii="楷体_GB2312" w:hAnsi="楷体" w:eastAsia="楷体_GB2312" w:cs="Times New Roman"/>
          <w:sz w:val="32"/>
          <w:szCs w:val="32"/>
        </w:rPr>
        <w:t>国有资产占用情况说明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截至2018年12月31日，本</w:t>
      </w:r>
      <w:r>
        <w:rPr>
          <w:rFonts w:hint="eastAsia" w:ascii="仿宋_GB2312" w:eastAsia="仿宋_GB2312"/>
          <w:sz w:val="32"/>
          <w:szCs w:val="32"/>
          <w:lang w:eastAsia="zh-CN"/>
        </w:rPr>
        <w:t>单位</w:t>
      </w:r>
      <w:r>
        <w:rPr>
          <w:rFonts w:hint="eastAsia" w:ascii="仿宋_GB2312" w:eastAsia="仿宋_GB2312"/>
          <w:sz w:val="32"/>
          <w:szCs w:val="32"/>
        </w:rPr>
        <w:t>共有车辆11辆，主要用于案件执行、送达等。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楷体_GB2312" w:hAnsi="楷体" w:eastAsia="楷体_GB2312" w:cs="Times New Roman"/>
          <w:sz w:val="32"/>
          <w:szCs w:val="32"/>
        </w:rPr>
      </w:pPr>
      <w:r>
        <w:rPr>
          <w:rFonts w:hint="eastAsia" w:ascii="楷体_GB2312" w:hAnsi="楷体" w:eastAsia="楷体_GB2312" w:cs="Times New Roman"/>
          <w:sz w:val="32"/>
          <w:szCs w:val="32"/>
        </w:rPr>
        <w:t>（三）政府采购支出情况说明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w:t>
      </w:r>
      <w:r>
        <w:rPr>
          <w:rFonts w:hint="eastAsia" w:ascii="仿宋_GB2312" w:eastAsia="仿宋_GB2312"/>
          <w:sz w:val="32"/>
          <w:szCs w:val="32"/>
          <w:lang w:eastAsia="zh-CN"/>
        </w:rPr>
        <w:t>通渭法院</w:t>
      </w:r>
      <w:r>
        <w:rPr>
          <w:rFonts w:hint="eastAsia" w:ascii="仿宋_GB2312" w:eastAsia="仿宋_GB2312"/>
          <w:sz w:val="32"/>
          <w:szCs w:val="32"/>
        </w:rPr>
        <w:t>政府采购支出总额221.89万元。</w:t>
      </w:r>
      <w:r>
        <w:rPr>
          <w:rFonts w:hint="eastAsia" w:ascii="仿宋_GB2312" w:eastAsia="仿宋_GB2312"/>
          <w:sz w:val="32"/>
          <w:szCs w:val="32"/>
          <w:lang w:eastAsia="zh-CN"/>
        </w:rPr>
        <w:t>其中：政府采购货物支出</w:t>
      </w:r>
      <w:r>
        <w:rPr>
          <w:rFonts w:hint="eastAsia" w:ascii="仿宋_GB2312" w:eastAsia="仿宋_GB2312"/>
          <w:sz w:val="32"/>
          <w:szCs w:val="32"/>
        </w:rPr>
        <w:t>221.89万元</w:t>
      </w:r>
      <w:r>
        <w:rPr>
          <w:rFonts w:hint="eastAsia" w:ascii="仿宋_GB2312" w:eastAsia="仿宋_GB2312"/>
          <w:sz w:val="32"/>
          <w:szCs w:val="32"/>
          <w:lang w:eastAsia="zh-CN"/>
        </w:rPr>
        <w:t>，政府采购工程支出</w:t>
      </w:r>
      <w:r>
        <w:rPr>
          <w:rFonts w:hint="eastAsia" w:ascii="仿宋_GB2312" w:eastAsia="仿宋_GB2312"/>
          <w:sz w:val="32"/>
          <w:szCs w:val="32"/>
          <w:lang w:val="en-US" w:eastAsia="zh-CN"/>
        </w:rPr>
        <w:t>0万元。</w:t>
      </w:r>
      <w:r>
        <w:rPr>
          <w:rFonts w:hint="eastAsia" w:ascii="仿宋_GB2312" w:eastAsia="仿宋_GB2312"/>
          <w:sz w:val="32"/>
          <w:szCs w:val="32"/>
        </w:rPr>
        <w:t>主要用于</w:t>
      </w:r>
      <w:r>
        <w:rPr>
          <w:rFonts w:hint="eastAsia" w:ascii="仿宋_GB2312" w:eastAsia="仿宋_GB2312"/>
          <w:sz w:val="32"/>
          <w:szCs w:val="32"/>
          <w:lang w:eastAsia="zh-CN"/>
        </w:rPr>
        <w:t>采购办案</w:t>
      </w:r>
      <w:r>
        <w:rPr>
          <w:rFonts w:hint="eastAsia" w:ascii="仿宋_GB2312" w:eastAsia="仿宋_GB2312"/>
          <w:sz w:val="32"/>
          <w:szCs w:val="32"/>
        </w:rPr>
        <w:t>办公家具、</w:t>
      </w:r>
      <w:r>
        <w:rPr>
          <w:rFonts w:hint="eastAsia" w:ascii="仿宋_GB2312" w:eastAsia="仿宋_GB2312"/>
          <w:sz w:val="32"/>
          <w:szCs w:val="32"/>
          <w:lang w:eastAsia="zh-CN"/>
        </w:rPr>
        <w:t>办案办公设施、零星设备等方面。其中授予中小企业合同金额</w:t>
      </w:r>
      <w:r>
        <w:rPr>
          <w:rFonts w:hint="eastAsia" w:ascii="仿宋_GB2312" w:eastAsia="仿宋_GB2312"/>
          <w:sz w:val="32"/>
          <w:szCs w:val="32"/>
          <w:lang w:val="en-US" w:eastAsia="zh-CN"/>
        </w:rPr>
        <w:t>221.89万元，占政府采购支出总额的100%，授予小微企业合同金额0万元，占政府采购支出总额的0%。</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楷体_GB2312" w:hAnsi="楷体" w:eastAsia="楷体_GB2312" w:cs="Times New Roman"/>
          <w:color w:val="FF0000"/>
          <w:sz w:val="36"/>
          <w:szCs w:val="36"/>
          <w:shd w:val="clear" w:color="FFFFFF" w:fill="D9D9D9"/>
        </w:rPr>
      </w:pPr>
      <w:r>
        <w:rPr>
          <w:rFonts w:hint="eastAsia" w:ascii="楷体_GB2312" w:hAnsi="楷体" w:eastAsia="楷体_GB2312" w:cs="Times New Roman"/>
          <w:sz w:val="32"/>
          <w:szCs w:val="32"/>
        </w:rPr>
        <w:t>（四）预算绩效管理情况说明</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仿宋_GB2312" w:eastAsia="仿宋_GB2312"/>
          <w:sz w:val="32"/>
          <w:szCs w:val="32"/>
        </w:rPr>
      </w:pPr>
      <w:r>
        <w:rPr>
          <w:rFonts w:hint="eastAsia" w:ascii="仿宋_GB2312" w:eastAsia="仿宋_GB2312"/>
          <w:sz w:val="32"/>
          <w:szCs w:val="32"/>
        </w:rPr>
        <w:t>根据财政预算绩效管理要求，我</w:t>
      </w:r>
      <w:r>
        <w:rPr>
          <w:rFonts w:hint="eastAsia" w:ascii="仿宋_GB2312" w:eastAsia="仿宋_GB2312"/>
          <w:sz w:val="32"/>
          <w:szCs w:val="32"/>
          <w:lang w:eastAsia="zh-CN"/>
        </w:rPr>
        <w:t>单位</w:t>
      </w:r>
      <w:r>
        <w:rPr>
          <w:rFonts w:hint="eastAsia" w:ascii="仿宋_GB2312" w:eastAsia="仿宋_GB2312"/>
          <w:sz w:val="32"/>
          <w:szCs w:val="32"/>
        </w:rPr>
        <w:t>组织对2018年度一般公共预算项目支出开展绩效评价。共涉及资金6万元，占一般公共预算项目支出总额的1.31%。共组织对涉法涉诉司法资金项目开展了重点绩效评价，涉及一般公共预算支出6万元。</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项目绩效评价结果，根据年初设定的绩效目标，涉法涉诉司法资金项目自评得分为优。项目全年预算数为</w:t>
      </w:r>
      <w:r>
        <w:rPr>
          <w:rFonts w:hint="eastAsia" w:ascii="仿宋_GB2312" w:eastAsia="仿宋_GB2312"/>
          <w:sz w:val="32"/>
          <w:szCs w:val="32"/>
          <w:lang w:val="en-US" w:eastAsia="zh-CN"/>
        </w:rPr>
        <w:t>6</w:t>
      </w:r>
      <w:r>
        <w:rPr>
          <w:rFonts w:hint="eastAsia" w:ascii="仿宋_GB2312" w:eastAsia="仿宋_GB2312"/>
          <w:sz w:val="32"/>
          <w:szCs w:val="32"/>
        </w:rPr>
        <w:t>万元，执行数为6万元，完成预算的100%。主要产出和效果：对困难群众提供救助，真正做到让困难群众中“救助有门”，切实让困难群众感受到法律的公平正义。发现的主要问题及原因：随着每年法院案件数量的激增，需要救助的困难群众人数增加，情况也更加复杂。下一步改进措施：制定更加详细的救助政策更加细致的做好困难群众的救助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涉法涉诉司法资金项目绩效自评综述：本项目总体来讲实施效果较好，实现了对困难群众提供救助，真正做到让困难群众中“救助有门”，切实让困难群众感受到法律的公平正义。</w:t>
      </w:r>
    </w:p>
    <w:p>
      <w:pPr>
        <w:keepNext w:val="0"/>
        <w:keepLines w:val="0"/>
        <w:pageBreakBefore w:val="0"/>
        <w:kinsoku/>
        <w:wordWrap/>
        <w:overflowPunct/>
        <w:topLinePunct w:val="0"/>
        <w:autoSpaceDE/>
        <w:autoSpaceDN/>
        <w:bidi w:val="0"/>
        <w:adjustRightInd w:val="0"/>
        <w:snapToGrid/>
        <w:spacing w:line="560" w:lineRule="exact"/>
        <w:ind w:firstLine="800" w:firstLineChars="250"/>
        <w:textAlignment w:val="auto"/>
        <w:rPr>
          <w:rFonts w:ascii="黑体" w:hAnsi="黑体" w:eastAsia="黑体" w:cs="Times New Roman"/>
          <w:bCs/>
          <w:color w:val="000000"/>
          <w:sz w:val="32"/>
          <w:szCs w:val="32"/>
        </w:rPr>
      </w:pPr>
      <w:r>
        <w:rPr>
          <w:rFonts w:hint="eastAsia" w:ascii="黑体" w:hAnsi="黑体" w:eastAsia="黑体" w:cs="Times New Roman"/>
          <w:bCs/>
          <w:color w:val="000000"/>
          <w:sz w:val="32"/>
          <w:szCs w:val="32"/>
        </w:rPr>
        <w:t>六、专业名词解释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（一）财政拨款收入：</w:t>
      </w:r>
      <w:r>
        <w:rPr>
          <w:rFonts w:hint="eastAsia" w:ascii="仿宋_GB2312" w:eastAsia="仿宋_GB2312"/>
          <w:sz w:val="32"/>
          <w:szCs w:val="32"/>
        </w:rPr>
        <w:t>指本年度从本级财政部门取得的财政拨款，包括一般公共预算财政拨款和政府性基金预算财政拨款。</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（二）事业收入：</w:t>
      </w:r>
      <w:r>
        <w:rPr>
          <w:rFonts w:hint="eastAsia" w:ascii="仿宋_GB2312" w:eastAsia="仿宋_GB2312"/>
          <w:sz w:val="32"/>
          <w:szCs w:val="32"/>
        </w:rPr>
        <w:t>指事业单位开展专业业务活动及其辅助活动取得的收入；事业单位收到的财政专户实际核拨的教育收费等资金在此反映。</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（四）用事业基金弥补收支差额：</w:t>
      </w:r>
      <w:r>
        <w:rPr>
          <w:rFonts w:hint="eastAsia" w:ascii="仿宋_GB2312" w:eastAsia="仿宋_GB2312"/>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（五）年初结转和结余：</w:t>
      </w:r>
      <w:r>
        <w:rPr>
          <w:rFonts w:hint="eastAsia" w:ascii="仿宋_GB2312" w:eastAsia="仿宋_GB2312"/>
          <w:sz w:val="32"/>
          <w:szCs w:val="32"/>
        </w:rPr>
        <w:t>指单位上年结转本年使用的基本支出结转、项目支出结转和结余、经营结余。不包括事业单位净资产项下的事业基金和专用基金。</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（六）结余分配：</w:t>
      </w:r>
      <w:r>
        <w:rPr>
          <w:rFonts w:hint="eastAsia" w:ascii="仿宋_GB2312" w:eastAsia="仿宋_GB2312"/>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（七）年末结转和结余：</w:t>
      </w:r>
      <w:r>
        <w:rPr>
          <w:rFonts w:hint="eastAsia" w:ascii="仿宋_GB2312" w:eastAsia="仿宋_GB2312"/>
          <w:sz w:val="32"/>
          <w:szCs w:val="32"/>
        </w:rPr>
        <w:t>指单位结转下年的基本支出结转、项目支出结转和结余、经营结余。不包括事业单位净资产项下的事业基金和专用基金。</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（八）基本支出：</w:t>
      </w:r>
      <w:r>
        <w:rPr>
          <w:rFonts w:hint="eastAsia" w:ascii="仿宋_GB2312" w:eastAsia="仿宋_GB231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（九）项目支出：</w:t>
      </w:r>
      <w:r>
        <w:rPr>
          <w:rFonts w:hint="eastAsia" w:ascii="仿宋_GB2312" w:eastAsia="仿宋_GB2312"/>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（十）经营支出：</w:t>
      </w:r>
      <w:r>
        <w:rPr>
          <w:rFonts w:hint="eastAsia" w:ascii="仿宋_GB2312" w:eastAsia="仿宋_GB2312"/>
          <w:sz w:val="32"/>
          <w:szCs w:val="32"/>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（十一）“三公”经费：</w:t>
      </w:r>
      <w:r>
        <w:rPr>
          <w:rFonts w:hint="eastAsia" w:ascii="仿宋_GB2312" w:eastAsia="仿宋_GB2312"/>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（十二）机关运行经费：</w:t>
      </w:r>
      <w:r>
        <w:rPr>
          <w:rFonts w:hint="eastAsia" w:ascii="仿宋_GB2312" w:eastAsia="仿宋_GB231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（十三）工资福利支出（支出经济分类科目类级）：</w:t>
      </w:r>
      <w:r>
        <w:rPr>
          <w:rFonts w:hint="eastAsia" w:ascii="仿宋_GB2312" w:eastAsia="仿宋_GB2312"/>
          <w:sz w:val="32"/>
          <w:szCs w:val="32"/>
        </w:rPr>
        <w:t>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（十四）商品和服务支出（支出经济分类科目类级）：</w:t>
      </w:r>
      <w:r>
        <w:rPr>
          <w:rFonts w:hint="eastAsia" w:ascii="仿宋_GB2312" w:eastAsia="仿宋_GB2312"/>
          <w:sz w:val="32"/>
          <w:szCs w:val="32"/>
        </w:rPr>
        <w:t>反映单位购买商品和服务的支出（不包括用于购置固定资产的支出、战略性和应急储备支出）。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（十五）对个人和家庭的补助（支出经济分类科目类级）：</w:t>
      </w:r>
      <w:r>
        <w:rPr>
          <w:rFonts w:hint="eastAsia" w:ascii="仿宋_GB2312" w:eastAsia="仿宋_GB2312"/>
          <w:sz w:val="32"/>
          <w:szCs w:val="32"/>
        </w:rPr>
        <w:t>反映用于对个人和家庭的补助支出。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_GB2312" w:hAnsi="楷体" w:eastAsia="楷体_GB2312" w:cs="Times New Roman"/>
          <w:sz w:val="32"/>
          <w:szCs w:val="32"/>
        </w:rPr>
        <w:t>（十六）其他资本性支出（支出经济分类科目类级）：</w:t>
      </w:r>
      <w:r>
        <w:rPr>
          <w:rFonts w:hint="eastAsia" w:ascii="仿宋_GB2312" w:eastAsia="仿宋_GB2312"/>
          <w:sz w:val="32"/>
          <w:szCs w:val="32"/>
        </w:rPr>
        <w:t>反映非各级发展与改革部门集中安排的用于购置固定资产、战略性和应急性储备、土地和无形资产，以及构建基础设施、大型修缮和财政支持企业更新改造所发生的支出。</w:t>
      </w: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1AA5"/>
    <w:multiLevelType w:val="singleLevel"/>
    <w:tmpl w:val="32671AA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10"/>
    <w:rsid w:val="001F7FFB"/>
    <w:rsid w:val="00233CE8"/>
    <w:rsid w:val="00335610"/>
    <w:rsid w:val="004674EE"/>
    <w:rsid w:val="005841DC"/>
    <w:rsid w:val="0060446D"/>
    <w:rsid w:val="00632C90"/>
    <w:rsid w:val="00690914"/>
    <w:rsid w:val="00787AEA"/>
    <w:rsid w:val="00A600B0"/>
    <w:rsid w:val="00A616AA"/>
    <w:rsid w:val="00C37977"/>
    <w:rsid w:val="00D35880"/>
    <w:rsid w:val="00ED696A"/>
    <w:rsid w:val="00F249DB"/>
    <w:rsid w:val="00F51CBC"/>
    <w:rsid w:val="01637E97"/>
    <w:rsid w:val="0276409C"/>
    <w:rsid w:val="04D93708"/>
    <w:rsid w:val="05656CFF"/>
    <w:rsid w:val="05A005F2"/>
    <w:rsid w:val="0896587C"/>
    <w:rsid w:val="09BB6318"/>
    <w:rsid w:val="0C425253"/>
    <w:rsid w:val="0D7879EC"/>
    <w:rsid w:val="0E257728"/>
    <w:rsid w:val="11C91AE3"/>
    <w:rsid w:val="17120304"/>
    <w:rsid w:val="17C8480E"/>
    <w:rsid w:val="1E41479B"/>
    <w:rsid w:val="204228E8"/>
    <w:rsid w:val="20BB303A"/>
    <w:rsid w:val="2415086A"/>
    <w:rsid w:val="26D83084"/>
    <w:rsid w:val="286A41BA"/>
    <w:rsid w:val="2D261125"/>
    <w:rsid w:val="2E172DCB"/>
    <w:rsid w:val="2E5D0850"/>
    <w:rsid w:val="2F856F0D"/>
    <w:rsid w:val="32A508C6"/>
    <w:rsid w:val="34005BE9"/>
    <w:rsid w:val="342E0469"/>
    <w:rsid w:val="368A65DB"/>
    <w:rsid w:val="37FB6F77"/>
    <w:rsid w:val="39930C6C"/>
    <w:rsid w:val="39A7135A"/>
    <w:rsid w:val="39BC3BF5"/>
    <w:rsid w:val="3A406227"/>
    <w:rsid w:val="3D1A0257"/>
    <w:rsid w:val="3DD10552"/>
    <w:rsid w:val="3E1E6E86"/>
    <w:rsid w:val="3FBA1614"/>
    <w:rsid w:val="42905207"/>
    <w:rsid w:val="439F7523"/>
    <w:rsid w:val="44E10B77"/>
    <w:rsid w:val="4B256566"/>
    <w:rsid w:val="4E726CA2"/>
    <w:rsid w:val="4EEF15F0"/>
    <w:rsid w:val="4F6A653C"/>
    <w:rsid w:val="574F4A84"/>
    <w:rsid w:val="588C7708"/>
    <w:rsid w:val="5BFC2B83"/>
    <w:rsid w:val="5DB705BF"/>
    <w:rsid w:val="5EE94AAF"/>
    <w:rsid w:val="69D13FDE"/>
    <w:rsid w:val="6A031051"/>
    <w:rsid w:val="6ADA09AB"/>
    <w:rsid w:val="6CCD676B"/>
    <w:rsid w:val="6FF07001"/>
    <w:rsid w:val="719D7CCC"/>
    <w:rsid w:val="77F67484"/>
    <w:rsid w:val="7A1B461C"/>
    <w:rsid w:val="7A66328B"/>
    <w:rsid w:val="7A784C31"/>
    <w:rsid w:val="7D343ED8"/>
    <w:rsid w:val="7EAD2FC2"/>
    <w:rsid w:val="7FF150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9</Pages>
  <Words>635</Words>
  <Characters>3624</Characters>
  <Lines>30</Lines>
  <Paragraphs>8</Paragraphs>
  <TotalTime>6</TotalTime>
  <ScaleCrop>false</ScaleCrop>
  <LinksUpToDate>false</LinksUpToDate>
  <CharactersWithSpaces>4251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2019-08-02T03:21:00Z</dcterms:created>
  <dc:creator>WRGHO</dc:creator>
  <cp:lastModifiedBy>Administrator</cp:lastModifiedBy>
  <cp:lastPrinted>2019-08-13T09:12:00Z</cp:lastPrinted>
  <dcterms:modified xsi:type="dcterms:W3CDTF">2019-10-12T08:05:39Z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